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592816"/>
        <w:docPartObj>
          <w:docPartGallery w:val="Page Numbers (Top of Page)"/>
          <w:docPartUnique/>
        </w:docPartObj>
      </w:sdtPr>
      <w:sdtContent>
        <w:p w:rsidR="00CA0251" w:rsidRDefault="00CA0251" w:rsidP="00CA0251">
          <w:pPr>
            <w:pStyle w:val="Header"/>
            <w:rPr>
              <w:rFonts w:ascii="Times New Roman" w:hAnsi="Times New Roman"/>
              <w:sz w:val="20"/>
            </w:rPr>
          </w:pPr>
          <w:r w:rsidRPr="007F739E">
            <w:rPr>
              <w:rFonts w:ascii="Times New Roman" w:hAnsi="Times New Roman"/>
              <w:sz w:val="20"/>
            </w:rPr>
            <w:t>Indian Journal of Basic and Applied Medical Research; June 20</w:t>
          </w:r>
          <w:r>
            <w:rPr>
              <w:rFonts w:ascii="Times New Roman" w:hAnsi="Times New Roman"/>
              <w:sz w:val="20"/>
            </w:rPr>
            <w:t>15: Vol.-4</w:t>
          </w:r>
          <w:r w:rsidR="00CC3A1C">
            <w:rPr>
              <w:rFonts w:ascii="Times New Roman" w:hAnsi="Times New Roman"/>
              <w:sz w:val="20"/>
            </w:rPr>
            <w:t>, Issue- 3, P. 150-158</w:t>
          </w:r>
        </w:p>
        <w:p w:rsidR="00CA0251" w:rsidRPr="007F739E" w:rsidRDefault="00CA0251" w:rsidP="00CA0251">
          <w:pPr>
            <w:pStyle w:val="Header"/>
            <w:rPr>
              <w:rFonts w:ascii="Times New Roman" w:hAnsi="Times New Roman"/>
            </w:rPr>
          </w:pPr>
        </w:p>
      </w:sdtContent>
    </w:sdt>
    <w:p w:rsidR="00CC3A1C" w:rsidRPr="002A7399" w:rsidRDefault="00CC3A1C" w:rsidP="00CC3A1C">
      <w:pPr>
        <w:spacing w:after="0" w:line="360" w:lineRule="auto"/>
        <w:rPr>
          <w:rFonts w:asciiTheme="majorHAnsi" w:hAnsiTheme="majorHAnsi"/>
          <w:b/>
          <w:sz w:val="24"/>
          <w:szCs w:val="24"/>
        </w:rPr>
      </w:pPr>
      <w:r>
        <w:rPr>
          <w:rFonts w:asciiTheme="majorHAnsi" w:hAnsiTheme="majorHAnsi"/>
          <w:b/>
          <w:sz w:val="24"/>
          <w:szCs w:val="24"/>
          <w:highlight w:val="lightGray"/>
        </w:rPr>
        <w:t>Original a</w:t>
      </w:r>
      <w:r w:rsidRPr="002A7399">
        <w:rPr>
          <w:rFonts w:asciiTheme="majorHAnsi" w:hAnsiTheme="majorHAnsi"/>
          <w:b/>
          <w:sz w:val="24"/>
          <w:szCs w:val="24"/>
          <w:highlight w:val="lightGray"/>
        </w:rPr>
        <w:t>rticle:</w:t>
      </w:r>
    </w:p>
    <w:p w:rsidR="00CC3A1C" w:rsidRPr="002A7399" w:rsidRDefault="00CC3A1C" w:rsidP="00CC3A1C">
      <w:pPr>
        <w:spacing w:after="0" w:line="360" w:lineRule="auto"/>
        <w:rPr>
          <w:rFonts w:asciiTheme="majorHAnsi" w:hAnsiTheme="majorHAnsi"/>
          <w:b/>
          <w:color w:val="1F497D" w:themeColor="text2"/>
          <w:sz w:val="24"/>
          <w:szCs w:val="24"/>
        </w:rPr>
      </w:pPr>
      <w:r w:rsidRPr="002A7399">
        <w:rPr>
          <w:rFonts w:asciiTheme="majorHAnsi" w:hAnsiTheme="majorHAnsi"/>
          <w:b/>
          <w:color w:val="1F497D" w:themeColor="text2"/>
          <w:sz w:val="24"/>
          <w:szCs w:val="24"/>
        </w:rPr>
        <w:t xml:space="preserve">Status of bone mineral density in adult population using </w:t>
      </w:r>
      <w:proofErr w:type="spellStart"/>
      <w:r w:rsidRPr="002A7399">
        <w:rPr>
          <w:rFonts w:asciiTheme="majorHAnsi" w:hAnsiTheme="majorHAnsi"/>
          <w:b/>
          <w:color w:val="1F497D" w:themeColor="text2"/>
          <w:sz w:val="24"/>
          <w:szCs w:val="24"/>
        </w:rPr>
        <w:t>calcaneal</w:t>
      </w:r>
      <w:proofErr w:type="spellEnd"/>
      <w:r w:rsidRPr="002A7399">
        <w:rPr>
          <w:rFonts w:asciiTheme="majorHAnsi" w:hAnsiTheme="majorHAnsi"/>
          <w:b/>
          <w:color w:val="1F497D" w:themeColor="text2"/>
          <w:sz w:val="24"/>
          <w:szCs w:val="24"/>
        </w:rPr>
        <w:t xml:space="preserve"> ultrasound bone densitometer</w:t>
      </w:r>
      <w:r>
        <w:rPr>
          <w:rFonts w:asciiTheme="majorHAnsi" w:hAnsiTheme="majorHAnsi"/>
          <w:b/>
          <w:color w:val="1F497D" w:themeColor="text2"/>
          <w:sz w:val="24"/>
          <w:szCs w:val="24"/>
        </w:rPr>
        <w:t xml:space="preserve">: </w:t>
      </w:r>
      <w:proofErr w:type="gramStart"/>
      <w:r>
        <w:rPr>
          <w:rFonts w:asciiTheme="majorHAnsi" w:hAnsiTheme="majorHAnsi"/>
          <w:b/>
          <w:color w:val="1F497D" w:themeColor="text2"/>
          <w:sz w:val="24"/>
          <w:szCs w:val="24"/>
        </w:rPr>
        <w:t>A</w:t>
      </w:r>
      <w:proofErr w:type="gramEnd"/>
      <w:r>
        <w:rPr>
          <w:rFonts w:asciiTheme="majorHAnsi" w:hAnsiTheme="majorHAnsi"/>
          <w:b/>
          <w:color w:val="1F497D" w:themeColor="text2"/>
          <w:sz w:val="24"/>
          <w:szCs w:val="24"/>
        </w:rPr>
        <w:t xml:space="preserve"> study from Assam, India</w:t>
      </w:r>
    </w:p>
    <w:p w:rsidR="00CC3A1C" w:rsidRPr="002A7399" w:rsidRDefault="00CC3A1C" w:rsidP="00CC3A1C">
      <w:pPr>
        <w:shd w:val="clear" w:color="auto" w:fill="FFFFFF"/>
        <w:spacing w:after="0" w:line="360" w:lineRule="auto"/>
        <w:ind w:right="72"/>
        <w:rPr>
          <w:rFonts w:asciiTheme="majorHAnsi" w:hAnsiTheme="majorHAnsi"/>
          <w:b/>
          <w:color w:val="000000"/>
          <w:sz w:val="20"/>
          <w:szCs w:val="20"/>
          <w:vertAlign w:val="superscript"/>
        </w:rPr>
      </w:pPr>
      <w:r w:rsidRPr="002A7399">
        <w:rPr>
          <w:rFonts w:asciiTheme="majorHAnsi" w:hAnsiTheme="majorHAnsi"/>
          <w:b/>
          <w:color w:val="000000"/>
          <w:sz w:val="20"/>
          <w:szCs w:val="20"/>
        </w:rPr>
        <w:t xml:space="preserve">Dr. </w:t>
      </w:r>
      <w:proofErr w:type="spellStart"/>
      <w:r w:rsidRPr="002A7399">
        <w:rPr>
          <w:rFonts w:asciiTheme="majorHAnsi" w:hAnsiTheme="majorHAnsi"/>
          <w:b/>
          <w:color w:val="000000"/>
          <w:sz w:val="20"/>
          <w:szCs w:val="20"/>
        </w:rPr>
        <w:t>Nandita</w:t>
      </w:r>
      <w:proofErr w:type="spellEnd"/>
      <w:r w:rsidRPr="002A7399">
        <w:rPr>
          <w:rFonts w:asciiTheme="majorHAnsi" w:hAnsiTheme="majorHAnsi"/>
          <w:b/>
          <w:color w:val="000000"/>
          <w:sz w:val="20"/>
          <w:szCs w:val="20"/>
        </w:rPr>
        <w:t xml:space="preserve"> Dutta</w:t>
      </w:r>
      <w:r w:rsidRPr="002A7399">
        <w:rPr>
          <w:rFonts w:asciiTheme="majorHAnsi" w:hAnsiTheme="majorHAnsi"/>
          <w:b/>
          <w:color w:val="000000"/>
          <w:sz w:val="20"/>
          <w:szCs w:val="20"/>
          <w:vertAlign w:val="superscript"/>
        </w:rPr>
        <w:t>1</w:t>
      </w:r>
      <w:r w:rsidRPr="002A7399">
        <w:rPr>
          <w:rFonts w:asciiTheme="majorHAnsi" w:hAnsiTheme="majorHAnsi"/>
          <w:b/>
          <w:color w:val="000000"/>
          <w:sz w:val="20"/>
          <w:szCs w:val="20"/>
        </w:rPr>
        <w:t xml:space="preserve">, Dr. </w:t>
      </w:r>
      <w:proofErr w:type="spellStart"/>
      <w:r w:rsidRPr="002A7399">
        <w:rPr>
          <w:rFonts w:asciiTheme="majorHAnsi" w:hAnsiTheme="majorHAnsi"/>
          <w:b/>
          <w:color w:val="000000"/>
          <w:sz w:val="20"/>
          <w:szCs w:val="20"/>
        </w:rPr>
        <w:t>Anku</w:t>
      </w:r>
      <w:proofErr w:type="spellEnd"/>
      <w:r w:rsidRPr="002A7399">
        <w:rPr>
          <w:rFonts w:asciiTheme="majorHAnsi" w:hAnsiTheme="majorHAnsi"/>
          <w:b/>
          <w:color w:val="000000"/>
          <w:sz w:val="20"/>
          <w:szCs w:val="20"/>
        </w:rPr>
        <w:t xml:space="preserve"> </w:t>
      </w:r>
      <w:proofErr w:type="spellStart"/>
      <w:r w:rsidRPr="002A7399">
        <w:rPr>
          <w:rFonts w:asciiTheme="majorHAnsi" w:hAnsiTheme="majorHAnsi"/>
          <w:b/>
          <w:color w:val="000000"/>
          <w:sz w:val="20"/>
          <w:szCs w:val="20"/>
        </w:rPr>
        <w:t>Moni</w:t>
      </w:r>
      <w:proofErr w:type="spellEnd"/>
      <w:r w:rsidRPr="002A7399">
        <w:rPr>
          <w:rFonts w:asciiTheme="majorHAnsi" w:hAnsiTheme="majorHAnsi"/>
          <w:b/>
          <w:color w:val="000000"/>
          <w:sz w:val="20"/>
          <w:szCs w:val="20"/>
        </w:rPr>
        <w:t xml:space="preserve"> Saikia</w:t>
      </w:r>
      <w:r w:rsidRPr="002A7399">
        <w:rPr>
          <w:rFonts w:asciiTheme="majorHAnsi" w:hAnsiTheme="majorHAnsi"/>
          <w:b/>
          <w:color w:val="000000"/>
          <w:sz w:val="20"/>
          <w:szCs w:val="20"/>
          <w:vertAlign w:val="superscript"/>
        </w:rPr>
        <w:t>2</w:t>
      </w:r>
      <w:r w:rsidRPr="002A7399">
        <w:rPr>
          <w:rFonts w:asciiTheme="majorHAnsi" w:hAnsiTheme="majorHAnsi"/>
          <w:b/>
          <w:color w:val="000000"/>
          <w:sz w:val="20"/>
          <w:szCs w:val="20"/>
        </w:rPr>
        <w:t xml:space="preserve">, </w:t>
      </w:r>
      <w:proofErr w:type="spellStart"/>
      <w:r w:rsidRPr="002A7399">
        <w:rPr>
          <w:rFonts w:asciiTheme="majorHAnsi" w:hAnsiTheme="majorHAnsi"/>
          <w:b/>
          <w:color w:val="000000"/>
          <w:sz w:val="20"/>
          <w:szCs w:val="20"/>
        </w:rPr>
        <w:t>Mrs</w:t>
      </w:r>
      <w:proofErr w:type="spellEnd"/>
      <w:r w:rsidRPr="002A7399">
        <w:rPr>
          <w:rFonts w:asciiTheme="majorHAnsi" w:hAnsiTheme="majorHAnsi"/>
          <w:b/>
          <w:color w:val="000000"/>
          <w:sz w:val="20"/>
          <w:szCs w:val="20"/>
        </w:rPr>
        <w:t xml:space="preserve"> </w:t>
      </w:r>
      <w:proofErr w:type="spellStart"/>
      <w:r w:rsidRPr="002A7399">
        <w:rPr>
          <w:rFonts w:asciiTheme="majorHAnsi" w:hAnsiTheme="majorHAnsi"/>
          <w:b/>
          <w:color w:val="000000"/>
          <w:sz w:val="20"/>
          <w:szCs w:val="20"/>
        </w:rPr>
        <w:t>Anjana</w:t>
      </w:r>
      <w:proofErr w:type="spellEnd"/>
      <w:r w:rsidRPr="002A7399">
        <w:rPr>
          <w:rFonts w:asciiTheme="majorHAnsi" w:hAnsiTheme="majorHAnsi"/>
          <w:b/>
          <w:color w:val="000000"/>
          <w:sz w:val="20"/>
          <w:szCs w:val="20"/>
        </w:rPr>
        <w:t xml:space="preserve"> </w:t>
      </w:r>
      <w:proofErr w:type="spellStart"/>
      <w:r w:rsidRPr="002A7399">
        <w:rPr>
          <w:rFonts w:asciiTheme="majorHAnsi" w:hAnsiTheme="majorHAnsi"/>
          <w:b/>
          <w:color w:val="000000"/>
          <w:sz w:val="20"/>
          <w:szCs w:val="20"/>
        </w:rPr>
        <w:t>Moyee</w:t>
      </w:r>
      <w:proofErr w:type="spellEnd"/>
      <w:r w:rsidRPr="002A7399">
        <w:rPr>
          <w:rFonts w:asciiTheme="majorHAnsi" w:hAnsiTheme="majorHAnsi"/>
          <w:b/>
          <w:color w:val="000000"/>
          <w:sz w:val="20"/>
          <w:szCs w:val="20"/>
        </w:rPr>
        <w:t xml:space="preserve"> Saikia</w:t>
      </w:r>
      <w:r w:rsidRPr="002A7399">
        <w:rPr>
          <w:rFonts w:asciiTheme="majorHAnsi" w:hAnsiTheme="majorHAnsi"/>
          <w:b/>
          <w:color w:val="000000"/>
          <w:sz w:val="20"/>
          <w:szCs w:val="20"/>
          <w:vertAlign w:val="superscript"/>
        </w:rPr>
        <w:t>3</w:t>
      </w:r>
      <w:r w:rsidRPr="002A7399">
        <w:rPr>
          <w:rFonts w:asciiTheme="majorHAnsi" w:hAnsiTheme="majorHAnsi"/>
          <w:b/>
          <w:color w:val="000000"/>
          <w:sz w:val="20"/>
          <w:szCs w:val="20"/>
        </w:rPr>
        <w:t>, Dr Ashok Kumar Das</w:t>
      </w:r>
      <w:r w:rsidRPr="002A7399">
        <w:rPr>
          <w:rFonts w:asciiTheme="majorHAnsi" w:hAnsiTheme="majorHAnsi"/>
          <w:b/>
          <w:color w:val="000000"/>
          <w:sz w:val="20"/>
          <w:szCs w:val="20"/>
          <w:vertAlign w:val="superscript"/>
        </w:rPr>
        <w:t>4</w:t>
      </w:r>
    </w:p>
    <w:p w:rsidR="00CC3A1C" w:rsidRDefault="00CC3A1C" w:rsidP="00CC3A1C">
      <w:pPr>
        <w:shd w:val="clear" w:color="auto" w:fill="FFFFFF"/>
        <w:spacing w:after="0" w:line="360" w:lineRule="auto"/>
        <w:ind w:right="72"/>
        <w:rPr>
          <w:rFonts w:asciiTheme="majorHAnsi" w:hAnsiTheme="majorHAnsi"/>
          <w:color w:val="000000"/>
          <w:vertAlign w:val="superscript"/>
        </w:rPr>
      </w:pPr>
    </w:p>
    <w:p w:rsidR="00CC3A1C" w:rsidRPr="002A7399" w:rsidRDefault="00CC3A1C" w:rsidP="00CC3A1C">
      <w:pPr>
        <w:shd w:val="clear" w:color="auto" w:fill="FFFFFF"/>
        <w:spacing w:after="0" w:line="360" w:lineRule="auto"/>
        <w:ind w:right="72"/>
        <w:rPr>
          <w:rFonts w:asciiTheme="majorHAnsi" w:hAnsiTheme="majorHAnsi"/>
          <w:color w:val="000000"/>
          <w:sz w:val="18"/>
          <w:szCs w:val="18"/>
        </w:rPr>
      </w:pPr>
      <w:r w:rsidRPr="002A7399">
        <w:rPr>
          <w:rFonts w:asciiTheme="majorHAnsi" w:hAnsiTheme="majorHAnsi"/>
          <w:color w:val="000000"/>
          <w:sz w:val="18"/>
          <w:szCs w:val="18"/>
          <w:vertAlign w:val="superscript"/>
        </w:rPr>
        <w:t>1</w:t>
      </w:r>
      <w:r w:rsidRPr="002A7399">
        <w:rPr>
          <w:rFonts w:asciiTheme="majorHAnsi" w:hAnsiTheme="majorHAnsi"/>
          <w:color w:val="000000"/>
          <w:sz w:val="18"/>
          <w:szCs w:val="18"/>
        </w:rPr>
        <w:t xml:space="preserve">Assistant Professor, Dept. of Physiology, </w:t>
      </w:r>
      <w:proofErr w:type="spellStart"/>
      <w:r w:rsidRPr="002A7399">
        <w:rPr>
          <w:rFonts w:asciiTheme="majorHAnsi" w:hAnsiTheme="majorHAnsi"/>
          <w:color w:val="000000"/>
          <w:sz w:val="18"/>
          <w:szCs w:val="18"/>
        </w:rPr>
        <w:t>Gauhati</w:t>
      </w:r>
      <w:proofErr w:type="spellEnd"/>
      <w:r w:rsidRPr="002A7399">
        <w:rPr>
          <w:rFonts w:asciiTheme="majorHAnsi" w:hAnsiTheme="majorHAnsi"/>
          <w:color w:val="000000"/>
          <w:sz w:val="18"/>
          <w:szCs w:val="18"/>
        </w:rPr>
        <w:t xml:space="preserve"> Medical College</w:t>
      </w:r>
    </w:p>
    <w:p w:rsidR="00CC3A1C" w:rsidRPr="002A7399" w:rsidRDefault="00CC3A1C" w:rsidP="00CC3A1C">
      <w:pPr>
        <w:shd w:val="clear" w:color="auto" w:fill="FFFFFF"/>
        <w:spacing w:after="0" w:line="360" w:lineRule="auto"/>
        <w:ind w:right="72"/>
        <w:rPr>
          <w:rFonts w:asciiTheme="majorHAnsi" w:hAnsiTheme="majorHAnsi"/>
          <w:color w:val="000000"/>
          <w:sz w:val="18"/>
          <w:szCs w:val="18"/>
        </w:rPr>
      </w:pPr>
      <w:r w:rsidRPr="002A7399">
        <w:rPr>
          <w:rFonts w:asciiTheme="majorHAnsi" w:hAnsiTheme="majorHAnsi"/>
          <w:color w:val="000000"/>
          <w:sz w:val="18"/>
          <w:szCs w:val="18"/>
          <w:vertAlign w:val="superscript"/>
        </w:rPr>
        <w:t>2</w:t>
      </w:r>
      <w:r w:rsidRPr="002A7399">
        <w:rPr>
          <w:rFonts w:asciiTheme="majorHAnsi" w:hAnsiTheme="majorHAnsi"/>
          <w:color w:val="000000"/>
          <w:sz w:val="18"/>
          <w:szCs w:val="18"/>
        </w:rPr>
        <w:t xml:space="preserve">Associate Professor, Dept. of Community Medicine, </w:t>
      </w:r>
      <w:proofErr w:type="spellStart"/>
      <w:r w:rsidRPr="002A7399">
        <w:rPr>
          <w:rFonts w:asciiTheme="majorHAnsi" w:hAnsiTheme="majorHAnsi"/>
          <w:color w:val="000000"/>
          <w:sz w:val="18"/>
          <w:szCs w:val="18"/>
        </w:rPr>
        <w:t>Gauhati</w:t>
      </w:r>
      <w:proofErr w:type="spellEnd"/>
      <w:r w:rsidRPr="002A7399">
        <w:rPr>
          <w:rFonts w:asciiTheme="majorHAnsi" w:hAnsiTheme="majorHAnsi"/>
          <w:color w:val="000000"/>
          <w:sz w:val="18"/>
          <w:szCs w:val="18"/>
        </w:rPr>
        <w:t xml:space="preserve"> Medical College</w:t>
      </w:r>
    </w:p>
    <w:p w:rsidR="00CC3A1C" w:rsidRPr="002A7399" w:rsidRDefault="00CC3A1C" w:rsidP="00CC3A1C">
      <w:pPr>
        <w:shd w:val="clear" w:color="auto" w:fill="FFFFFF"/>
        <w:spacing w:after="0" w:line="360" w:lineRule="auto"/>
        <w:ind w:right="72"/>
        <w:rPr>
          <w:rFonts w:asciiTheme="majorHAnsi" w:hAnsiTheme="majorHAnsi"/>
          <w:color w:val="000000"/>
          <w:sz w:val="18"/>
          <w:szCs w:val="18"/>
        </w:rPr>
      </w:pPr>
      <w:r w:rsidRPr="002A7399">
        <w:rPr>
          <w:rFonts w:asciiTheme="majorHAnsi" w:hAnsiTheme="majorHAnsi"/>
          <w:color w:val="000000"/>
          <w:sz w:val="18"/>
          <w:szCs w:val="18"/>
          <w:vertAlign w:val="superscript"/>
        </w:rPr>
        <w:t>3</w:t>
      </w:r>
      <w:r w:rsidRPr="002A7399">
        <w:rPr>
          <w:rFonts w:asciiTheme="majorHAnsi" w:hAnsiTheme="majorHAnsi"/>
          <w:color w:val="000000"/>
          <w:sz w:val="18"/>
          <w:szCs w:val="18"/>
        </w:rPr>
        <w:t xml:space="preserve">Lecturer of Statistic, Dept. of Community Medicine, </w:t>
      </w:r>
      <w:proofErr w:type="spellStart"/>
      <w:r w:rsidRPr="002A7399">
        <w:rPr>
          <w:rFonts w:asciiTheme="majorHAnsi" w:hAnsiTheme="majorHAnsi"/>
          <w:color w:val="000000"/>
          <w:sz w:val="18"/>
          <w:szCs w:val="18"/>
        </w:rPr>
        <w:t>Gauhati</w:t>
      </w:r>
      <w:proofErr w:type="spellEnd"/>
      <w:r w:rsidRPr="002A7399">
        <w:rPr>
          <w:rFonts w:asciiTheme="majorHAnsi" w:hAnsiTheme="majorHAnsi"/>
          <w:color w:val="000000"/>
          <w:sz w:val="18"/>
          <w:szCs w:val="18"/>
        </w:rPr>
        <w:t xml:space="preserve"> Medical College</w:t>
      </w:r>
    </w:p>
    <w:p w:rsidR="00CC3A1C" w:rsidRPr="002A7399" w:rsidRDefault="00CC3A1C" w:rsidP="00CC3A1C">
      <w:pPr>
        <w:shd w:val="clear" w:color="auto" w:fill="FFFFFF"/>
        <w:spacing w:after="0" w:line="360" w:lineRule="auto"/>
        <w:ind w:right="72"/>
        <w:rPr>
          <w:rFonts w:asciiTheme="majorHAnsi" w:hAnsiTheme="majorHAnsi"/>
          <w:color w:val="000000"/>
          <w:sz w:val="18"/>
          <w:szCs w:val="18"/>
        </w:rPr>
      </w:pPr>
      <w:proofErr w:type="gramStart"/>
      <w:r w:rsidRPr="002A7399">
        <w:rPr>
          <w:rFonts w:asciiTheme="majorHAnsi" w:hAnsiTheme="majorHAnsi"/>
          <w:color w:val="000000"/>
          <w:sz w:val="18"/>
          <w:szCs w:val="18"/>
          <w:vertAlign w:val="superscript"/>
        </w:rPr>
        <w:t>4</w:t>
      </w:r>
      <w:r>
        <w:rPr>
          <w:rFonts w:asciiTheme="majorHAnsi" w:hAnsiTheme="majorHAnsi"/>
          <w:color w:val="000000"/>
          <w:sz w:val="18"/>
          <w:szCs w:val="18"/>
          <w:vertAlign w:val="superscript"/>
        </w:rPr>
        <w:t xml:space="preserve"> </w:t>
      </w:r>
      <w:r w:rsidRPr="002A7399">
        <w:rPr>
          <w:rFonts w:asciiTheme="majorHAnsi" w:hAnsiTheme="majorHAnsi"/>
          <w:color w:val="000000"/>
          <w:sz w:val="18"/>
          <w:szCs w:val="18"/>
        </w:rPr>
        <w:t>Associate Professor</w:t>
      </w:r>
      <w:proofErr w:type="gramEnd"/>
      <w:r w:rsidRPr="002A7399">
        <w:rPr>
          <w:rFonts w:asciiTheme="majorHAnsi" w:hAnsiTheme="majorHAnsi"/>
          <w:color w:val="000000"/>
          <w:sz w:val="18"/>
          <w:szCs w:val="18"/>
        </w:rPr>
        <w:t xml:space="preserve">, Dept. of Surgery. FAAMC, </w:t>
      </w:r>
      <w:proofErr w:type="spellStart"/>
      <w:r w:rsidRPr="002A7399">
        <w:rPr>
          <w:rFonts w:asciiTheme="majorHAnsi" w:hAnsiTheme="majorHAnsi"/>
          <w:color w:val="000000"/>
          <w:sz w:val="18"/>
          <w:szCs w:val="18"/>
        </w:rPr>
        <w:t>Barpeta</w:t>
      </w:r>
      <w:proofErr w:type="spellEnd"/>
      <w:r w:rsidRPr="002A7399">
        <w:rPr>
          <w:rFonts w:asciiTheme="majorHAnsi" w:hAnsiTheme="majorHAnsi"/>
          <w:color w:val="000000"/>
          <w:sz w:val="18"/>
          <w:szCs w:val="18"/>
        </w:rPr>
        <w:t>.</w:t>
      </w:r>
    </w:p>
    <w:p w:rsidR="00CC3A1C" w:rsidRDefault="00CC3A1C" w:rsidP="00CC3A1C">
      <w:pPr>
        <w:pStyle w:val="Default"/>
        <w:pBdr>
          <w:bottom w:val="single" w:sz="6" w:space="1" w:color="auto"/>
        </w:pBdr>
        <w:spacing w:line="360" w:lineRule="auto"/>
        <w:rPr>
          <w:rFonts w:asciiTheme="majorHAnsi" w:hAnsiTheme="majorHAnsi"/>
          <w:sz w:val="18"/>
          <w:szCs w:val="18"/>
        </w:rPr>
      </w:pPr>
      <w:r w:rsidRPr="002A7399">
        <w:rPr>
          <w:rFonts w:asciiTheme="majorHAnsi" w:hAnsiTheme="majorHAnsi"/>
          <w:b/>
          <w:sz w:val="18"/>
          <w:szCs w:val="18"/>
        </w:rPr>
        <w:t xml:space="preserve">Corresponding author: </w:t>
      </w:r>
      <w:r w:rsidRPr="002A7399">
        <w:rPr>
          <w:rFonts w:asciiTheme="majorHAnsi" w:hAnsiTheme="majorHAnsi"/>
          <w:sz w:val="18"/>
          <w:szCs w:val="18"/>
        </w:rPr>
        <w:t xml:space="preserve">Dr. </w:t>
      </w:r>
      <w:proofErr w:type="spellStart"/>
      <w:r w:rsidRPr="002A7399">
        <w:rPr>
          <w:rFonts w:asciiTheme="majorHAnsi" w:hAnsiTheme="majorHAnsi"/>
          <w:sz w:val="18"/>
          <w:szCs w:val="18"/>
        </w:rPr>
        <w:t>Nandita</w:t>
      </w:r>
      <w:proofErr w:type="spellEnd"/>
      <w:r w:rsidRPr="002A7399">
        <w:rPr>
          <w:rFonts w:asciiTheme="majorHAnsi" w:hAnsiTheme="majorHAnsi"/>
          <w:sz w:val="18"/>
          <w:szCs w:val="18"/>
        </w:rPr>
        <w:t xml:space="preserve"> </w:t>
      </w:r>
      <w:proofErr w:type="spellStart"/>
      <w:r w:rsidRPr="002A7399">
        <w:rPr>
          <w:rFonts w:asciiTheme="majorHAnsi" w:hAnsiTheme="majorHAnsi"/>
          <w:sz w:val="18"/>
          <w:szCs w:val="18"/>
        </w:rPr>
        <w:t>Dutta</w:t>
      </w:r>
      <w:proofErr w:type="spellEnd"/>
    </w:p>
    <w:p w:rsidR="00CC3A1C" w:rsidRPr="002A7399" w:rsidRDefault="00CC3A1C" w:rsidP="00CC3A1C">
      <w:pPr>
        <w:pStyle w:val="Default"/>
        <w:spacing w:line="360" w:lineRule="auto"/>
        <w:rPr>
          <w:rFonts w:asciiTheme="majorHAnsi" w:hAnsiTheme="majorHAnsi"/>
          <w:sz w:val="18"/>
          <w:szCs w:val="18"/>
        </w:rPr>
      </w:pPr>
    </w:p>
    <w:p w:rsidR="00CC3A1C" w:rsidRPr="002A7399" w:rsidRDefault="00CC3A1C" w:rsidP="00CC3A1C">
      <w:pPr>
        <w:shd w:val="clear" w:color="auto" w:fill="FFFFFF"/>
        <w:spacing w:after="0" w:line="360" w:lineRule="auto"/>
        <w:ind w:right="72"/>
        <w:jc w:val="both"/>
        <w:rPr>
          <w:rFonts w:ascii="Times New Roman" w:hAnsi="Times New Roman"/>
          <w:b/>
          <w:color w:val="000000"/>
          <w:sz w:val="20"/>
          <w:szCs w:val="20"/>
        </w:rPr>
      </w:pPr>
      <w:r w:rsidRPr="002A7399">
        <w:rPr>
          <w:rFonts w:ascii="Times New Roman" w:hAnsi="Times New Roman"/>
          <w:b/>
          <w:color w:val="000000"/>
          <w:sz w:val="20"/>
          <w:szCs w:val="20"/>
        </w:rPr>
        <w:t xml:space="preserve">Abstract: </w:t>
      </w:r>
      <w:r w:rsidRPr="002A7399">
        <w:rPr>
          <w:rFonts w:ascii="Times New Roman" w:hAnsi="Times New Roman"/>
          <w:b/>
          <w:color w:val="000000"/>
          <w:sz w:val="20"/>
          <w:szCs w:val="20"/>
        </w:rPr>
        <w:tab/>
      </w:r>
    </w:p>
    <w:p w:rsidR="00CC3A1C" w:rsidRPr="002A7399" w:rsidRDefault="00CC3A1C" w:rsidP="00CC3A1C">
      <w:pPr>
        <w:pStyle w:val="Default"/>
        <w:spacing w:line="360" w:lineRule="auto"/>
        <w:jc w:val="both"/>
        <w:rPr>
          <w:sz w:val="18"/>
          <w:szCs w:val="18"/>
        </w:rPr>
      </w:pPr>
      <w:r w:rsidRPr="002A7399">
        <w:rPr>
          <w:b/>
          <w:sz w:val="18"/>
          <w:szCs w:val="18"/>
        </w:rPr>
        <w:t>Introduction:</w:t>
      </w:r>
      <w:r w:rsidRPr="002A7399">
        <w:rPr>
          <w:sz w:val="18"/>
          <w:szCs w:val="18"/>
        </w:rPr>
        <w:t xml:space="preserve"> Osteoporosis, an important cause of fracture in India is highly unrecognized and un-addressed issue. This condition is characterized by low bone mineral density (BMD) for which screening is not routinely done. Again there is paucity of literatures regarding the prevalence of low BMD among adult population from this part of the country. With growing awareness of the condition and its complication demands special attention to be paid to early detection and treatment. The present study was carried out to study the bone mineral status of adult population in a rural block of Assam and also to find out some of its correlates. </w:t>
      </w:r>
    </w:p>
    <w:p w:rsidR="00CC3A1C" w:rsidRPr="002A7399" w:rsidRDefault="00CC3A1C" w:rsidP="00CC3A1C">
      <w:pPr>
        <w:pStyle w:val="Default"/>
        <w:spacing w:line="360" w:lineRule="auto"/>
        <w:jc w:val="both"/>
        <w:rPr>
          <w:sz w:val="18"/>
          <w:szCs w:val="18"/>
        </w:rPr>
      </w:pPr>
      <w:r w:rsidRPr="002A7399">
        <w:rPr>
          <w:b/>
          <w:sz w:val="18"/>
          <w:szCs w:val="18"/>
        </w:rPr>
        <w:t>Materials and methods</w:t>
      </w:r>
      <w:r w:rsidRPr="002A7399">
        <w:rPr>
          <w:sz w:val="18"/>
          <w:szCs w:val="18"/>
        </w:rPr>
        <w:t xml:space="preserve">: the study was conducted among the attendants of routine health camps, organized in the block. A total of 93 subjects (60 females and 33 males) were screened by using </w:t>
      </w:r>
      <w:proofErr w:type="spellStart"/>
      <w:r w:rsidRPr="002A7399">
        <w:rPr>
          <w:sz w:val="18"/>
          <w:szCs w:val="18"/>
        </w:rPr>
        <w:t>calcaneal</w:t>
      </w:r>
      <w:proofErr w:type="spellEnd"/>
      <w:r w:rsidRPr="002A7399">
        <w:rPr>
          <w:sz w:val="18"/>
          <w:szCs w:val="18"/>
        </w:rPr>
        <w:t xml:space="preserve"> ultrasound heel bone densitometer. </w:t>
      </w:r>
    </w:p>
    <w:p w:rsidR="00CC3A1C" w:rsidRPr="002A7399" w:rsidRDefault="00CC3A1C" w:rsidP="00CC3A1C">
      <w:pPr>
        <w:pStyle w:val="Default"/>
        <w:spacing w:line="360" w:lineRule="auto"/>
        <w:jc w:val="both"/>
        <w:rPr>
          <w:sz w:val="18"/>
          <w:szCs w:val="18"/>
        </w:rPr>
      </w:pPr>
      <w:r w:rsidRPr="002A7399">
        <w:rPr>
          <w:b/>
          <w:sz w:val="18"/>
          <w:szCs w:val="18"/>
        </w:rPr>
        <w:t>Results &amp; observation</w:t>
      </w:r>
      <w:r w:rsidRPr="002A7399">
        <w:rPr>
          <w:sz w:val="18"/>
          <w:szCs w:val="18"/>
        </w:rPr>
        <w:t xml:space="preserve">: The study reveals that though the prevalence of osteoporosis and </w:t>
      </w:r>
      <w:proofErr w:type="spellStart"/>
      <w:r w:rsidRPr="002A7399">
        <w:rPr>
          <w:sz w:val="18"/>
          <w:szCs w:val="18"/>
        </w:rPr>
        <w:t>osteopenia</w:t>
      </w:r>
      <w:proofErr w:type="spellEnd"/>
      <w:r w:rsidRPr="002A7399">
        <w:rPr>
          <w:sz w:val="18"/>
          <w:szCs w:val="18"/>
        </w:rPr>
        <w:t xml:space="preserve"> were more in 50-60 years (85.71%) and &gt; 60 years group (87.5%), high prevalence of </w:t>
      </w:r>
      <w:proofErr w:type="spellStart"/>
      <w:r w:rsidRPr="002A7399">
        <w:rPr>
          <w:sz w:val="18"/>
          <w:szCs w:val="18"/>
        </w:rPr>
        <w:t>osteopenia</w:t>
      </w:r>
      <w:proofErr w:type="spellEnd"/>
      <w:r w:rsidRPr="002A7399">
        <w:rPr>
          <w:sz w:val="18"/>
          <w:szCs w:val="18"/>
        </w:rPr>
        <w:t xml:space="preserve"> (68.75%) was also noted in younger 40-50 years group. Low BMD was found to be increasing with age, but it is more so in female than male. Significant association was found between BMD and socio-economic status, nutritional status, type of diet and menopausal status. </w:t>
      </w:r>
    </w:p>
    <w:p w:rsidR="00CC3A1C" w:rsidRPr="002A7399" w:rsidRDefault="00CC3A1C" w:rsidP="00CC3A1C">
      <w:pPr>
        <w:pStyle w:val="Default"/>
        <w:spacing w:line="360" w:lineRule="auto"/>
        <w:jc w:val="both"/>
        <w:rPr>
          <w:sz w:val="18"/>
          <w:szCs w:val="18"/>
        </w:rPr>
      </w:pPr>
      <w:r w:rsidRPr="002A7399">
        <w:rPr>
          <w:b/>
          <w:sz w:val="18"/>
          <w:szCs w:val="18"/>
        </w:rPr>
        <w:t>Conclusion</w:t>
      </w:r>
      <w:r w:rsidRPr="002A7399">
        <w:rPr>
          <w:sz w:val="18"/>
          <w:szCs w:val="18"/>
        </w:rPr>
        <w:t>: This study indicates that adult populations are equally at risk of osteoporosis as the elderly group and should be targeted for preventive interventions to prevent growing increase of the condition and its complications.</w:t>
      </w:r>
    </w:p>
    <w:p w:rsidR="00CC3A1C" w:rsidRPr="002A7399" w:rsidRDefault="00CC3A1C" w:rsidP="00CC3A1C">
      <w:pPr>
        <w:pStyle w:val="Default"/>
        <w:pBdr>
          <w:bottom w:val="single" w:sz="6" w:space="1" w:color="auto"/>
        </w:pBdr>
        <w:spacing w:line="360" w:lineRule="auto"/>
        <w:jc w:val="both"/>
        <w:rPr>
          <w:sz w:val="18"/>
          <w:szCs w:val="18"/>
        </w:rPr>
      </w:pPr>
      <w:r w:rsidRPr="002A7399">
        <w:rPr>
          <w:b/>
          <w:sz w:val="18"/>
          <w:szCs w:val="18"/>
        </w:rPr>
        <w:t>Keywords</w:t>
      </w:r>
      <w:r w:rsidRPr="002A7399">
        <w:rPr>
          <w:sz w:val="18"/>
          <w:szCs w:val="18"/>
        </w:rPr>
        <w:t xml:space="preserve">: </w:t>
      </w:r>
      <w:proofErr w:type="spellStart"/>
      <w:r w:rsidRPr="002A7399">
        <w:rPr>
          <w:sz w:val="18"/>
          <w:szCs w:val="18"/>
        </w:rPr>
        <w:t>Calcaneal</w:t>
      </w:r>
      <w:proofErr w:type="spellEnd"/>
      <w:r w:rsidRPr="002A7399">
        <w:rPr>
          <w:sz w:val="18"/>
          <w:szCs w:val="18"/>
        </w:rPr>
        <w:t xml:space="preserve"> bone mineral density, osteoporosis, </w:t>
      </w:r>
      <w:proofErr w:type="spellStart"/>
      <w:r w:rsidRPr="002A7399">
        <w:rPr>
          <w:sz w:val="18"/>
          <w:szCs w:val="18"/>
        </w:rPr>
        <w:t>osteopenia</w:t>
      </w:r>
      <w:proofErr w:type="spellEnd"/>
      <w:r w:rsidRPr="002A7399">
        <w:rPr>
          <w:sz w:val="18"/>
          <w:szCs w:val="18"/>
        </w:rPr>
        <w:t>, body mass index, socio-economical status</w:t>
      </w:r>
    </w:p>
    <w:p w:rsidR="0006104F" w:rsidRDefault="0006104F" w:rsidP="00CC3A1C">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251"/>
    <w:rsid w:val="000061B3"/>
    <w:rsid w:val="0006104F"/>
    <w:rsid w:val="00274F00"/>
    <w:rsid w:val="00A83F59"/>
    <w:rsid w:val="00AE3137"/>
    <w:rsid w:val="00C95712"/>
    <w:rsid w:val="00CA0251"/>
    <w:rsid w:val="00CC3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rsid w:val="00CA0251"/>
  </w:style>
  <w:style w:type="paragraph" w:styleId="Header">
    <w:name w:val="header"/>
    <w:aliases w:val="Char"/>
    <w:basedOn w:val="Normal"/>
    <w:link w:val="HeaderChar"/>
    <w:uiPriority w:val="99"/>
    <w:unhideWhenUsed/>
    <w:rsid w:val="00CA025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A0251"/>
    <w:rPr>
      <w:rFonts w:ascii="Calibri" w:eastAsia="Calibri" w:hAnsi="Calibri" w:cs="Times New Roman"/>
    </w:rPr>
  </w:style>
  <w:style w:type="paragraph" w:customStyle="1" w:styleId="Default">
    <w:name w:val="Default"/>
    <w:rsid w:val="00CC3A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2015-06-17T04:14:00Z</dcterms:created>
  <dcterms:modified xsi:type="dcterms:W3CDTF">2015-06-17T04:14:00Z</dcterms:modified>
</cp:coreProperties>
</file>